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6C7E2A97" w:rsidR="00147C92" w:rsidRPr="00386E86" w:rsidRDefault="00147C92" w:rsidP="00582BC1">
      <w:pPr>
        <w:pStyle w:val="berschrift2"/>
      </w:pPr>
      <w:r>
        <w:t xml:space="preserve">COMMUNIQUE DE PRESSE</w:t>
      </w:r>
    </w:p>
    <w:p w14:paraId="2DFE011B" w14:textId="77777777" w:rsidR="00147C92" w:rsidRDefault="00147C92" w:rsidP="002927A5">
      <w:pPr>
        <w:rPr>
          <w:rFonts w:ascii="Bio Sans" w:hAnsi="Bio Sans" w:cs="Arial"/>
          <w:b/>
          <w:bCs/>
          <w:sz w:val="28"/>
          <w:szCs w:val="28"/>
        </w:rPr>
      </w:pPr>
    </w:p>
    <w:p w14:paraId="58050CBC" w14:textId="7FD54377" w:rsidR="00051939" w:rsidRPr="00051939" w:rsidRDefault="00051939" w:rsidP="00051939">
      <w:pPr>
        <w:rPr>
          <w:rFonts w:ascii="Bio Sans" w:hAnsi="Bio Sans" w:cs="Arial"/>
          <w:b/>
          <w:bCs/>
          <w:sz w:val="40"/>
          <w:szCs w:val="40"/>
        </w:rPr>
      </w:pPr>
      <w:r>
        <w:rPr>
          <w:rFonts w:ascii="Bio Sans" w:hAnsi="Bio Sans" w:cs="Arial"/>
          <w:b/>
          <w:bCs/>
          <w:sz w:val="40"/>
          <w:szCs w:val="40"/>
        </w:rPr>
        <w:t xml:space="preserve">SCHMERSAL DISPOSITIF D'INTERVERROUILLAGE DE SÉCURITÉ AZM150</w:t>
      </w:r>
    </w:p>
    <w:p w14:paraId="6AB90BC2" w14:textId="77777777" w:rsidR="00051939" w:rsidRPr="00051939" w:rsidRDefault="00051939" w:rsidP="00147C92">
      <w:pPr>
        <w:rPr>
          <w:rFonts w:ascii="Bio Sans" w:hAnsi="Bio Sans" w:cs="Arial"/>
          <w:b/>
          <w:bCs/>
          <w:sz w:val="40"/>
          <w:szCs w:val="40"/>
        </w:rPr>
      </w:pPr>
    </w:p>
    <w:p w14:paraId="7FCC685D" w14:textId="77777777" w:rsidR="00E47558" w:rsidRDefault="004675E9" w:rsidP="00147C92">
      <w:pPr>
        <w:rPr>
          <w:rFonts w:ascii="Bio Sans" w:hAnsi="Bio Sans" w:cs="Arial"/>
          <w:b/>
          <w:bCs/>
          <w:sz w:val="40"/>
          <w:szCs w:val="40"/>
        </w:rPr>
      </w:pPr>
      <w:r>
        <w:rPr>
          <w:rFonts w:ascii="Bio Sans" w:hAnsi="Bio Sans" w:cs="Arial"/>
          <w:b/>
          <w:bCs/>
          <w:sz w:val="40"/>
          <w:szCs w:val="40"/>
        </w:rPr>
        <w:t xml:space="preserve">Solution de sécurité compacte -</w:t>
      </w:r>
    </w:p>
    <w:p w14:paraId="715A99D0" w14:textId="02BF4BD2" w:rsidR="00C52E7B" w:rsidRPr="00051939" w:rsidRDefault="004675E9" w:rsidP="00147C92">
      <w:pPr>
        <w:rPr>
          <w:rFonts w:ascii="Bio Sans" w:hAnsi="Bio Sans" w:cs="Arial"/>
          <w:b/>
          <w:bCs/>
          <w:sz w:val="40"/>
          <w:szCs w:val="40"/>
        </w:rPr>
      </w:pPr>
      <w:r>
        <w:rPr>
          <w:rFonts w:ascii="Bio Sans" w:hAnsi="Bio Sans" w:cs="Arial"/>
          <w:b/>
          <w:bCs/>
          <w:sz w:val="40"/>
          <w:szCs w:val="40"/>
        </w:rPr>
        <w:t xml:space="preserve">maintenant avec extensions modulaires</w:t>
      </w:r>
    </w:p>
    <w:p w14:paraId="196B3F43" w14:textId="77777777" w:rsidR="004675E9" w:rsidRDefault="004675E9" w:rsidP="002927A5">
      <w:pPr>
        <w:rPr>
          <w:rFonts w:ascii="Bio Sans" w:hAnsi="Bio Sans" w:cs="Arial"/>
          <w:b/>
          <w:bCs/>
          <w:sz w:val="28"/>
          <w:szCs w:val="28"/>
        </w:rPr>
      </w:pPr>
    </w:p>
    <w:p w14:paraId="509083AE" w14:textId="77777777" w:rsidR="004675E9" w:rsidRDefault="004675E9" w:rsidP="002927A5">
      <w:pPr>
        <w:rPr>
          <w:rFonts w:ascii="Bio Sans" w:hAnsi="Bio Sans" w:cs="Arial"/>
          <w:b/>
          <w:bCs/>
          <w:sz w:val="28"/>
          <w:szCs w:val="28"/>
        </w:rPr>
      </w:pPr>
    </w:p>
    <w:p w14:paraId="25DC236B" w14:textId="7BDBC7F7" w:rsidR="003C103F" w:rsidRDefault="00D60C0E" w:rsidP="004675E9">
      <w:pPr>
        <w:spacing w:line="360" w:lineRule="auto"/>
        <w:rPr>
          <w:rFonts w:ascii="Bio Sans" w:hAnsi="Bio Sans" w:cs="Arial"/>
          <w:bCs/>
          <w:sz w:val="24"/>
          <w:szCs w:val="24"/>
        </w:rPr>
      </w:pPr>
      <w:r>
        <w:rPr>
          <w:rFonts w:ascii="Bio Sans" w:hAnsi="Bio Sans" w:cs="Arial"/>
          <w:b/>
          <w:bCs/>
          <w:sz w:val="24"/>
          <w:szCs w:val="24"/>
        </w:rPr>
        <w:t xml:space="preserve">Wuppertal, 25</w:t>
      </w:r>
      <w:r>
        <w:rPr>
          <w:rFonts w:ascii="Bio Sans" w:hAnsi="Bio Sans" w:cs="Arial"/>
          <w:b/>
          <w:bCs/>
          <w:sz w:val="24"/>
          <w:szCs w:val="24"/>
        </w:rPr>
        <w:t xml:space="preserve"> </w:t>
      </w:r>
      <w:r>
        <w:rPr>
          <w:rFonts w:ascii="Bio Sans" w:hAnsi="Bio Sans" w:cs="Arial"/>
          <w:b/>
          <w:bCs/>
          <w:sz w:val="24"/>
          <w:szCs w:val="24"/>
        </w:rPr>
        <w:t xml:space="preserve">Novembre 2025</w:t>
      </w:r>
      <w:r>
        <w:rPr>
          <w:rFonts w:ascii="Bio Sans" w:hAnsi="Bio Sans" w:cs="Arial"/>
          <w:bCs/>
          <w:sz w:val="24"/>
          <w:szCs w:val="24"/>
        </w:rPr>
        <w:t xml:space="preserve"> </w:t>
      </w:r>
      <w:r>
        <w:rPr>
          <w:rFonts w:ascii="Bio Sans" w:hAnsi="Bio Sans" w:cs="Arial"/>
          <w:bCs/>
          <w:sz w:val="24"/>
          <w:szCs w:val="24"/>
        </w:rPr>
        <w:t xml:space="preserve">L'AZM150 de Schmersal est un interverrouillage de sécurité électromécanique.</w:t>
      </w:r>
      <w:r>
        <w:rPr>
          <w:rFonts w:ascii="Bio Sans" w:hAnsi="Bio Sans" w:cs="Arial"/>
          <w:bCs/>
          <w:sz w:val="24"/>
          <w:szCs w:val="24"/>
        </w:rPr>
        <w:t xml:space="preserve"> </w:t>
      </w:r>
      <w:r>
        <w:rPr>
          <w:rFonts w:ascii="Bio Sans" w:hAnsi="Bio Sans" w:cs="Arial"/>
          <w:bCs/>
          <w:sz w:val="24"/>
          <w:szCs w:val="24"/>
        </w:rPr>
        <w:t xml:space="preserve">Il se caractérise par un design fin et peu encombrant et peut être utilisé de manière polyvalente.</w:t>
      </w:r>
      <w:r>
        <w:rPr>
          <w:rFonts w:ascii="Bio Sans" w:hAnsi="Bio Sans" w:cs="Arial"/>
          <w:bCs/>
          <w:sz w:val="24"/>
          <w:szCs w:val="24"/>
        </w:rPr>
        <w:t xml:space="preserve"> </w:t>
      </w:r>
      <w:r>
        <w:rPr>
          <w:rFonts w:ascii="Bio Sans" w:hAnsi="Bio Sans" w:cs="Arial"/>
          <w:bCs/>
          <w:sz w:val="24"/>
          <w:szCs w:val="24"/>
        </w:rPr>
        <w:t xml:space="preserve">Grâce à de nouveaux composants additionnels, le système d'interverrouillage de sécurité compact élargit ses possibilités d'application et séduit en tant que solution complète par son excellente rentabilité.</w:t>
      </w:r>
    </w:p>
    <w:p w14:paraId="5FDBF0BB" w14:textId="77777777" w:rsidR="00CC1115" w:rsidRDefault="00CC1115" w:rsidP="00147C92">
      <w:pPr>
        <w:spacing w:line="360" w:lineRule="auto"/>
        <w:rPr>
          <w:rFonts w:ascii="Bio Sans" w:hAnsi="Bio Sans" w:cs="Arial"/>
          <w:bCs/>
          <w:sz w:val="24"/>
          <w:szCs w:val="24"/>
        </w:rPr>
      </w:pPr>
    </w:p>
    <w:p w14:paraId="2EB58AEF" w14:textId="112B9973" w:rsidR="00A769CB" w:rsidRDefault="004675E9" w:rsidP="004675E9">
      <w:pPr>
        <w:spacing w:line="360" w:lineRule="auto"/>
        <w:rPr>
          <w:rFonts w:ascii="Bio Sans" w:hAnsi="Bio Sans" w:cs="Arial"/>
          <w:bCs/>
          <w:sz w:val="24"/>
          <w:szCs w:val="24"/>
        </w:rPr>
      </w:pPr>
      <w:r>
        <w:rPr>
          <w:rFonts w:ascii="Bio Sans" w:hAnsi="Bio Sans" w:cs="Arial"/>
          <w:bCs/>
          <w:sz w:val="24"/>
          <w:szCs w:val="24"/>
        </w:rPr>
        <w:t xml:space="preserve">La nouveauté : le bouton-poussoir pouvant être monté à l'arrière à des fins d'évacuation ou déverrouillage d'urgence.</w:t>
      </w:r>
      <w:r>
        <w:rPr>
          <w:rFonts w:ascii="Bio Sans" w:hAnsi="Bio Sans" w:cs="Arial"/>
          <w:bCs/>
          <w:sz w:val="24"/>
          <w:szCs w:val="24"/>
        </w:rPr>
        <w:t xml:space="preserve"> </w:t>
      </w:r>
      <w:r>
        <w:rPr>
          <w:rFonts w:ascii="Bio Sans" w:hAnsi="Bio Sans" w:cs="Arial"/>
          <w:bCs/>
          <w:sz w:val="24"/>
          <w:szCs w:val="24"/>
        </w:rPr>
        <w:t xml:space="preserve">Le dispositif d'évacuation permet de quitter la zone dangereuse de l'intérieur lorsqu'une personne s'y est enfermée par inadvertance.</w:t>
      </w:r>
      <w:r>
        <w:rPr>
          <w:rFonts w:ascii="Bio Sans" w:hAnsi="Bio Sans" w:cs="Arial"/>
          <w:bCs/>
          <w:sz w:val="24"/>
          <w:szCs w:val="24"/>
        </w:rPr>
        <w:t xml:space="preserve"> </w:t>
      </w:r>
      <w:r>
        <w:rPr>
          <w:rFonts w:ascii="Bio Sans" w:hAnsi="Bio Sans" w:cs="Arial"/>
          <w:bCs/>
          <w:sz w:val="24"/>
          <w:szCs w:val="24"/>
        </w:rPr>
        <w:t xml:space="preserve">Le déverrouillage d'urgence permet d'ouvrir la porte de protection de l'extérieur en cas de danger.</w:t>
      </w:r>
      <w:r>
        <w:rPr>
          <w:rFonts w:ascii="Bio Sans" w:hAnsi="Bio Sans" w:cs="Arial"/>
          <w:bCs/>
          <w:sz w:val="24"/>
          <w:szCs w:val="24"/>
        </w:rPr>
        <w:t xml:space="preserve"> </w:t>
      </w:r>
      <w:r>
        <w:rPr>
          <w:rFonts w:ascii="Bio Sans" w:hAnsi="Bio Sans" w:cs="Arial"/>
          <w:bCs/>
          <w:sz w:val="24"/>
          <w:szCs w:val="24"/>
        </w:rPr>
        <w:t xml:space="preserve">Le bouton-poussoir est disponible en deux variantes : la variante de 45 mm pour une utilisation avec des montants de porte d'une épaisseur de 40 mm par exemple, le montage pouvant être effectué avec la plaque de montage MP-AZM150-1, ainsi que la variante de 170 mm pour une utilisation avec des montants de porte d'une épaisseur maximale de 170 mm ou en combinaison avec le système de poignée de porte DHS-150.</w:t>
      </w:r>
    </w:p>
    <w:p w14:paraId="12C4A76F" w14:textId="77777777" w:rsidR="004675E9" w:rsidRDefault="004675E9" w:rsidP="004675E9">
      <w:pPr>
        <w:spacing w:line="360" w:lineRule="auto"/>
        <w:rPr>
          <w:rFonts w:ascii="Bio Sans" w:hAnsi="Bio Sans" w:cs="Arial"/>
          <w:bCs/>
          <w:sz w:val="24"/>
          <w:szCs w:val="24"/>
        </w:rPr>
      </w:pPr>
    </w:p>
    <w:p w14:paraId="573166F7" w14:textId="75C31962" w:rsidR="004675E9" w:rsidRDefault="004675E9" w:rsidP="004675E9">
      <w:pPr>
        <w:spacing w:line="360" w:lineRule="auto"/>
        <w:rPr>
          <w:rFonts w:ascii="Bio Sans" w:hAnsi="Bio Sans" w:cs="Arial"/>
          <w:bCs/>
          <w:sz w:val="24"/>
          <w:szCs w:val="24"/>
        </w:rPr>
      </w:pPr>
      <w:r>
        <w:rPr>
          <w:rFonts w:ascii="Bio Sans" w:hAnsi="Bio Sans" w:cs="Arial"/>
          <w:bCs/>
          <w:sz w:val="24"/>
          <w:szCs w:val="24"/>
        </w:rPr>
        <w:t xml:space="preserve">Autre nouveauté en tant qu'accessoire pour l'AZM150 : le déverrouillage par câble Bowden d'une longueur totale de 6 m, qui permet un déverrouillage à distance lorsque l'interverrouillage n'est pas accessible.</w:t>
      </w:r>
      <w:r>
        <w:rPr>
          <w:rFonts w:ascii="Bio Sans" w:hAnsi="Bio Sans" w:cs="Arial"/>
          <w:bCs/>
          <w:sz w:val="24"/>
          <w:szCs w:val="24"/>
        </w:rPr>
        <w:t xml:space="preserve"> </w:t>
      </w:r>
      <w:r>
        <w:rPr>
          <w:rFonts w:ascii="Bio Sans" w:hAnsi="Bio Sans" w:cs="Arial"/>
          <w:bCs/>
          <w:sz w:val="24"/>
          <w:szCs w:val="24"/>
        </w:rPr>
        <w:t xml:space="preserve">Il permet de sécuriser des situations de danger particuliers : Si une personne est accidentellement enfermée dans une installation, le câble Bowden peut être utilisé comme déverrouillage de secours.</w:t>
      </w:r>
      <w:r>
        <w:rPr>
          <w:rFonts w:ascii="Bio Sans" w:hAnsi="Bio Sans" w:cs="Arial"/>
          <w:bCs/>
          <w:sz w:val="24"/>
          <w:szCs w:val="24"/>
        </w:rPr>
        <w:t xml:space="preserve"> </w:t>
      </w:r>
      <w:r>
        <w:rPr>
          <w:rFonts w:ascii="Bio Sans" w:hAnsi="Bio Sans" w:cs="Arial"/>
          <w:bCs/>
          <w:sz w:val="24"/>
          <w:szCs w:val="24"/>
        </w:rPr>
        <w:t xml:space="preserve">Il permet le déverrouillage d'urgence lorsque l'interverrouillage doit être déverrouillé de l'extérieur.</w:t>
      </w:r>
    </w:p>
    <w:p w14:paraId="3A85AE9B" w14:textId="77777777" w:rsidR="004675E9" w:rsidRDefault="004675E9" w:rsidP="004675E9">
      <w:pPr>
        <w:spacing w:line="360" w:lineRule="auto"/>
        <w:rPr>
          <w:rFonts w:ascii="Bio Sans" w:hAnsi="Bio Sans" w:cs="Arial"/>
          <w:bCs/>
          <w:sz w:val="24"/>
          <w:szCs w:val="24"/>
        </w:rPr>
      </w:pPr>
    </w:p>
    <w:p w14:paraId="3E566C09" w14:textId="77777777" w:rsidR="004675E9" w:rsidRPr="004675E9" w:rsidRDefault="004675E9" w:rsidP="004675E9">
      <w:pPr>
        <w:spacing w:line="360" w:lineRule="auto"/>
        <w:rPr>
          <w:rFonts w:ascii="Bio Sans" w:hAnsi="Bio Sans" w:cs="Arial"/>
          <w:b/>
          <w:sz w:val="24"/>
          <w:szCs w:val="24"/>
        </w:rPr>
      </w:pPr>
      <w:r>
        <w:rPr>
          <w:rFonts w:ascii="Bio Sans" w:hAnsi="Bio Sans" w:cs="Arial"/>
          <w:b/>
          <w:sz w:val="24"/>
          <w:szCs w:val="24"/>
        </w:rPr>
        <w:t xml:space="preserve">Polyvalent : tête d'actionneur rotative</w:t>
      </w:r>
    </w:p>
    <w:p w14:paraId="46E45DEA" w14:textId="24C1B5AF" w:rsidR="004675E9" w:rsidRDefault="004675E9" w:rsidP="004675E9">
      <w:pPr>
        <w:spacing w:line="360" w:lineRule="auto"/>
        <w:rPr>
          <w:rFonts w:ascii="Bio Sans" w:hAnsi="Bio Sans" w:cs="Arial"/>
          <w:bCs/>
          <w:sz w:val="24"/>
          <w:szCs w:val="24"/>
        </w:rPr>
      </w:pPr>
      <w:r>
        <w:rPr>
          <w:rFonts w:ascii="Bio Sans" w:hAnsi="Bio Sans" w:cs="Arial"/>
          <w:bCs/>
          <w:sz w:val="24"/>
          <w:szCs w:val="24"/>
        </w:rPr>
        <w:t xml:space="preserve">L'un des points forts de l'interverrouillage AZM150 est la tête pivotante de l'actionneur qui - au lieu d'être vissée - est bloquée par simple mise en place du couvercle.</w:t>
      </w:r>
      <w:r>
        <w:rPr>
          <w:rFonts w:ascii="Bio Sans" w:hAnsi="Bio Sans" w:cs="Arial"/>
          <w:bCs/>
          <w:sz w:val="24"/>
          <w:szCs w:val="24"/>
        </w:rPr>
        <w:t xml:space="preserve"> </w:t>
      </w:r>
      <w:r>
        <w:rPr>
          <w:rFonts w:ascii="Bio Sans" w:hAnsi="Bio Sans" w:cs="Arial"/>
          <w:bCs/>
          <w:sz w:val="24"/>
          <w:szCs w:val="24"/>
        </w:rPr>
        <w:t xml:space="preserve">La tête de l'actionneur, qui peut être tournée à 360°, avec ses deux entrées d'actionneur, permet différentes positions de montage et possibilités d'approche.</w:t>
      </w:r>
      <w:r>
        <w:rPr>
          <w:rFonts w:ascii="Bio Sans" w:hAnsi="Bio Sans" w:cs="Arial"/>
          <w:bCs/>
          <w:sz w:val="24"/>
          <w:szCs w:val="24"/>
        </w:rPr>
        <w:t xml:space="preserve"> </w:t>
      </w:r>
      <w:r>
        <w:rPr>
          <w:rFonts w:ascii="Bio Sans" w:hAnsi="Bio Sans" w:cs="Arial"/>
          <w:bCs/>
          <w:sz w:val="24"/>
          <w:szCs w:val="24"/>
        </w:rPr>
        <w:t xml:space="preserve">Cette caractéristique contribue à la polyvalence de l'AZM150, qui dispose d'une force d'interverrouillage de FZh = 1 500 N.</w:t>
      </w:r>
    </w:p>
    <w:p w14:paraId="2C0FD841" w14:textId="77777777" w:rsidR="004675E9" w:rsidRPr="004675E9" w:rsidRDefault="004675E9" w:rsidP="004675E9">
      <w:pPr>
        <w:spacing w:line="360" w:lineRule="auto"/>
        <w:rPr>
          <w:rFonts w:ascii="Bio Sans" w:hAnsi="Bio Sans" w:cs="Arial"/>
          <w:bCs/>
          <w:sz w:val="24"/>
          <w:szCs w:val="24"/>
        </w:rPr>
      </w:pPr>
    </w:p>
    <w:p w14:paraId="41F3B93E" w14:textId="77777777" w:rsidR="004675E9" w:rsidRPr="004675E9" w:rsidRDefault="004675E9" w:rsidP="004675E9">
      <w:pPr>
        <w:spacing w:line="360" w:lineRule="auto"/>
        <w:rPr>
          <w:rFonts w:ascii="Bio Sans" w:hAnsi="Bio Sans" w:cs="Arial"/>
          <w:b/>
          <w:sz w:val="24"/>
          <w:szCs w:val="24"/>
        </w:rPr>
      </w:pPr>
      <w:r>
        <w:rPr>
          <w:rFonts w:ascii="Bio Sans" w:hAnsi="Bio Sans" w:cs="Arial"/>
          <w:b/>
          <w:sz w:val="24"/>
          <w:szCs w:val="24"/>
        </w:rPr>
        <w:t xml:space="preserve">Interrupteur à codage élevé</w:t>
      </w:r>
    </w:p>
    <w:p w14:paraId="2AA00109" w14:textId="77777777" w:rsidR="004675E9" w:rsidRDefault="004675E9" w:rsidP="004675E9">
      <w:pPr>
        <w:spacing w:line="360" w:lineRule="auto"/>
        <w:rPr>
          <w:rFonts w:ascii="Bio Sans" w:hAnsi="Bio Sans" w:cs="Arial"/>
          <w:bCs/>
          <w:sz w:val="24"/>
          <w:szCs w:val="24"/>
        </w:rPr>
      </w:pPr>
      <w:r>
        <w:rPr>
          <w:rFonts w:ascii="Bio Sans" w:hAnsi="Bio Sans" w:cs="Arial"/>
          <w:bCs/>
          <w:sz w:val="24"/>
          <w:szCs w:val="24"/>
        </w:rPr>
        <w:t xml:space="preserve">L'AZM150 est un interverrouillage de sécurité électromécanique disponible avec un codage standard ou, en variante I, avec un codage élevé.</w:t>
      </w:r>
      <w:r>
        <w:rPr>
          <w:rFonts w:ascii="Bio Sans" w:hAnsi="Bio Sans" w:cs="Arial"/>
          <w:bCs/>
          <w:sz w:val="24"/>
          <w:szCs w:val="24"/>
        </w:rPr>
        <w:t xml:space="preserve"> </w:t>
      </w:r>
      <w:r>
        <w:rPr>
          <w:rFonts w:ascii="Bio Sans" w:hAnsi="Bio Sans" w:cs="Arial"/>
          <w:bCs/>
          <w:sz w:val="24"/>
          <w:szCs w:val="24"/>
        </w:rPr>
        <w:t xml:space="preserve">Il offre ainsi une excellente protection contre les risques de manipulations.</w:t>
      </w:r>
      <w:r>
        <w:rPr>
          <w:rFonts w:ascii="Bio Sans" w:hAnsi="Bio Sans" w:cs="Arial"/>
          <w:bCs/>
          <w:sz w:val="24"/>
          <w:szCs w:val="24"/>
        </w:rPr>
        <w:t xml:space="preserve"> </w:t>
      </w:r>
      <w:r>
        <w:rPr>
          <w:rFonts w:ascii="Bio Sans" w:hAnsi="Bio Sans" w:cs="Arial"/>
          <w:bCs/>
          <w:sz w:val="24"/>
          <w:szCs w:val="24"/>
        </w:rPr>
        <w:t xml:space="preserve">L'avantage pour l'utilisateur : avec un codage élevé, moins de mesures supplémentaires sont nécessaires pour éviter les manipulations, conformément à la norme ISO 14119.</w:t>
      </w:r>
    </w:p>
    <w:p w14:paraId="5E9A1CD7" w14:textId="77777777" w:rsidR="004675E9" w:rsidRDefault="004675E9" w:rsidP="004675E9">
      <w:pPr>
        <w:spacing w:line="360" w:lineRule="auto"/>
        <w:rPr>
          <w:rFonts w:ascii="Bio Sans" w:hAnsi="Bio Sans" w:cs="Arial"/>
          <w:bCs/>
          <w:sz w:val="24"/>
          <w:szCs w:val="24"/>
        </w:rPr>
      </w:pPr>
    </w:p>
    <w:p w14:paraId="415687AC" w14:textId="5754785B" w:rsidR="004675E9" w:rsidRPr="004675E9" w:rsidRDefault="004675E9" w:rsidP="004675E9">
      <w:pPr>
        <w:spacing w:line="360" w:lineRule="auto"/>
        <w:rPr>
          <w:rFonts w:ascii="Bio Sans" w:hAnsi="Bio Sans" w:cs="Arial"/>
          <w:b/>
          <w:sz w:val="24"/>
          <w:szCs w:val="24"/>
        </w:rPr>
      </w:pPr>
      <w:r>
        <w:rPr>
          <w:rFonts w:ascii="Bio Sans" w:hAnsi="Bio Sans" w:cs="Arial"/>
          <w:b/>
          <w:sz w:val="24"/>
          <w:szCs w:val="24"/>
        </w:rPr>
        <w:t xml:space="preserve">Un système complet et économique</w:t>
      </w:r>
    </w:p>
    <w:p w14:paraId="64B3A9E6" w14:textId="44C522D1" w:rsidR="004675E9" w:rsidRPr="004675E9" w:rsidRDefault="004675E9" w:rsidP="004675E9">
      <w:pPr>
        <w:spacing w:line="360" w:lineRule="auto"/>
        <w:rPr>
          <w:rFonts w:ascii="Bio Sans" w:hAnsi="Bio Sans" w:cs="Arial"/>
          <w:bCs/>
          <w:sz w:val="24"/>
          <w:szCs w:val="24"/>
        </w:rPr>
      </w:pPr>
      <w:r>
        <w:rPr>
          <w:rFonts w:ascii="Bio Sans" w:hAnsi="Bio Sans" w:cs="Arial"/>
          <w:bCs/>
          <w:sz w:val="24"/>
          <w:szCs w:val="24"/>
        </w:rPr>
        <w:t xml:space="preserve">Avec les nouveaux accessoires, la série est désormais un système complet qui couvre un grand nombre d'applications jusqu'à PLd/Cat3 et constitue en outre une solution très économique.</w:t>
      </w:r>
      <w:r>
        <w:rPr>
          <w:rFonts w:ascii="Bio Sans" w:hAnsi="Bio Sans" w:cs="Arial"/>
          <w:bCs/>
          <w:sz w:val="24"/>
          <w:szCs w:val="24"/>
        </w:rPr>
        <w:t xml:space="preserve"> </w:t>
      </w:r>
      <w:r>
        <w:rPr>
          <w:rFonts w:ascii="Bio Sans" w:hAnsi="Bio Sans" w:cs="Arial"/>
          <w:bCs/>
          <w:sz w:val="24"/>
          <w:szCs w:val="24"/>
        </w:rPr>
        <w:t xml:space="preserve">La série AZM150 idéale pour les machines et installations de petite taille ou</w:t>
      </w:r>
    </w:p>
    <w:p w14:paraId="45AEA6B7" w14:textId="5B89CB4C" w:rsidR="004675E9" w:rsidRDefault="004675E9" w:rsidP="004675E9">
      <w:pPr>
        <w:spacing w:line="360" w:lineRule="auto"/>
        <w:rPr>
          <w:rFonts w:ascii="Bio Sans" w:hAnsi="Bio Sans" w:cs="Arial"/>
          <w:bCs/>
          <w:sz w:val="24"/>
          <w:szCs w:val="24"/>
        </w:rPr>
      </w:pPr>
      <w:r>
        <w:rPr>
          <w:rFonts w:ascii="Bio Sans" w:hAnsi="Bio Sans" w:cs="Arial"/>
          <w:bCs/>
          <w:sz w:val="24"/>
          <w:szCs w:val="24"/>
        </w:rPr>
        <w:t xml:space="preserve">pour les applications sensibles aux coûts.</w:t>
      </w:r>
    </w:p>
    <w:p w14:paraId="37A94E68" w14:textId="77777777" w:rsidR="004675E9" w:rsidRDefault="004675E9" w:rsidP="004675E9">
      <w:pPr>
        <w:spacing w:line="360" w:lineRule="auto"/>
        <w:rPr>
          <w:rFonts w:ascii="Bio Sans" w:hAnsi="Bio Sans" w:cs="Arial"/>
          <w:bCs/>
          <w:sz w:val="24"/>
          <w:szCs w:val="24"/>
        </w:rPr>
      </w:pPr>
    </w:p>
    <w:p w14:paraId="41EB0C79" w14:textId="77777777" w:rsidR="004675E9" w:rsidRDefault="004675E9" w:rsidP="004675E9">
      <w:pPr>
        <w:spacing w:line="360" w:lineRule="auto"/>
        <w:rPr>
          <w:rFonts w:ascii="Bio Sans" w:hAnsi="Bio Sans" w:cs="Arial"/>
          <w:bCs/>
          <w:sz w:val="24"/>
          <w:szCs w:val="24"/>
        </w:rPr>
      </w:pPr>
    </w:p>
    <w:p w14:paraId="4A0BD651" w14:textId="77777777" w:rsidR="004675E9" w:rsidRDefault="004675E9" w:rsidP="004675E9">
      <w:pPr>
        <w:spacing w:line="360" w:lineRule="auto"/>
        <w:rPr>
          <w:rFonts w:ascii="Bio Sans" w:hAnsi="Bio Sans" w:cs="Arial"/>
          <w:bCs/>
          <w:sz w:val="24"/>
          <w:szCs w:val="24"/>
        </w:rPr>
      </w:pPr>
    </w:p>
    <w:p w14:paraId="298E032C" w14:textId="53061780" w:rsidR="00856ED7" w:rsidRDefault="00C176CD" w:rsidP="00027D48">
      <w:pPr>
        <w:spacing w:line="360" w:lineRule="auto"/>
        <w:rPr>
          <w:rFonts w:ascii="Bio Sans" w:hAnsi="Bio Sans" w:cs="Arial"/>
          <w:b/>
          <w:sz w:val="24"/>
          <w:szCs w:val="24"/>
        </w:rPr>
      </w:pPr>
      <w:r>
        <w:rPr>
          <w:rFonts w:ascii="Bio Sans" w:hAnsi="Bio Sans" w:cs="Arial"/>
          <w:b/>
          <w:sz w:val="24"/>
          <w:szCs w:val="24"/>
        </w:rPr>
        <w:t xml:space="preserve">Photos imprimables à télécharger :</w:t>
      </w:r>
    </w:p>
    <w:p w14:paraId="05F45DD0" w14:textId="120E8A3B" w:rsidR="00027D48" w:rsidRPr="00027D48" w:rsidRDefault="00027D48" w:rsidP="00027D48">
      <w:pPr>
        <w:spacing w:line="360" w:lineRule="auto"/>
        <w:rPr>
          <w:rFonts w:ascii="Bio Sans" w:hAnsi="Bio Sans" w:cs="Arial"/>
          <w:bCs/>
          <w:sz w:val="24"/>
          <w:szCs w:val="24"/>
        </w:rPr>
      </w:pPr>
      <w:r>
        <w:rPr>
          <w:rFonts w:ascii="Bio Sans" w:hAnsi="Bio Sans" w:cs="Arial"/>
          <w:bCs/>
          <w:sz w:val="24"/>
          <w:szCs w:val="24"/>
          <w:highlight w:val="yellow"/>
        </w:rPr>
        <w:t xml:space="preserve">Insérer un lien</w:t>
      </w:r>
    </w:p>
    <w:p w14:paraId="7F18E25B" w14:textId="77777777" w:rsidR="00601C41" w:rsidRPr="00122E22" w:rsidRDefault="00601C41" w:rsidP="009F22B2">
      <w:pPr>
        <w:rPr>
          <w:rFonts w:ascii="Bio Sans" w:hAnsi="Bio Sans" w:cs="Arial"/>
          <w:bCs/>
          <w:sz w:val="24"/>
          <w:szCs w:val="24"/>
        </w:rPr>
      </w:pPr>
    </w:p>
    <w:p w14:paraId="7E3C536D" w14:textId="448D62EC" w:rsidR="00B52B62" w:rsidRPr="0022013D" w:rsidRDefault="00226981" w:rsidP="009F22B2">
      <w:pPr>
        <w:rPr>
          <w:rFonts w:ascii="Bio Sans" w:hAnsi="Bio Sans" w:cs="Arial"/>
          <w:b/>
          <w:sz w:val="24"/>
          <w:szCs w:val="24"/>
        </w:rPr>
      </w:pPr>
      <w:r>
        <w:rPr>
          <w:rFonts w:ascii="Bio Sans" w:hAnsi="Bio Sans" w:cs="Arial"/>
          <w:b/>
          <w:sz w:val="24"/>
          <w:szCs w:val="24"/>
        </w:rPr>
        <w:t xml:space="preserve">Légendes des photos</w:t>
      </w:r>
    </w:p>
    <w:p w14:paraId="23699ED6" w14:textId="604E2A70" w:rsidR="002927A5" w:rsidRDefault="00B52B62" w:rsidP="00B52B62">
      <w:pPr>
        <w:rPr>
          <w:rFonts w:ascii="Bio Sans" w:hAnsi="Bio Sans" w:cs="Arial"/>
          <w:bCs/>
          <w:sz w:val="24"/>
          <w:szCs w:val="24"/>
        </w:rPr>
      </w:pPr>
      <w:r>
        <w:rPr>
          <w:rFonts w:ascii="Bio Sans" w:hAnsi="Bio Sans" w:cs="Arial"/>
          <w:bCs/>
          <w:sz w:val="24"/>
          <w:szCs w:val="24"/>
        </w:rPr>
        <w:t xml:space="preserve">Copyright: Schmersal Group</w:t>
      </w:r>
    </w:p>
    <w:p w14:paraId="5715498D" w14:textId="06116208" w:rsidR="00366D18" w:rsidRDefault="00366D18" w:rsidP="00B52B62">
      <w:pPr>
        <w:rPr>
          <w:rFonts w:ascii="Bio Sans" w:hAnsi="Bio Sans" w:cs="Arial"/>
          <w:bCs/>
          <w:sz w:val="24"/>
          <w:szCs w:val="24"/>
        </w:rPr>
      </w:pPr>
      <w:r>
        <w:rPr>
          <w:rFonts w:ascii="Bio Sans" w:hAnsi="Bio Sans" w:cs="Arial"/>
          <w:bCs/>
          <w:sz w:val="24"/>
          <w:szCs w:val="24"/>
        </w:rPr>
        <w:t xml:space="preserve">Photographe : Dominik Gierke</w:t>
      </w:r>
    </w:p>
    <w:p w14:paraId="68A0CA16" w14:textId="1FA66630" w:rsidR="00B52B62" w:rsidRPr="007C42AA" w:rsidRDefault="00B52B62" w:rsidP="00B52B62">
      <w:pPr>
        <w:rPr>
          <w:rFonts w:ascii="Bio Sans" w:hAnsi="Bio Sans" w:cs="Arial"/>
          <w:bCs/>
          <w:sz w:val="24"/>
          <w:szCs w:val="24"/>
        </w:rPr>
      </w:pPr>
      <w:r>
        <w:rPr>
          <w:rFonts w:ascii="Bio Sans" w:hAnsi="Bio Sans" w:cs="Arial"/>
          <w:bCs/>
          <w:sz w:val="24"/>
          <w:szCs w:val="24"/>
        </w:rPr>
        <w:t xml:space="preserve">Remarque : Reproduction gratuite - merci de fournir un exemplaire justificatif.</w:t>
      </w:r>
    </w:p>
    <w:p w14:paraId="6906F4EA" w14:textId="25ADB43E" w:rsidR="00D3665C" w:rsidRDefault="00D3665C" w:rsidP="009F22B2">
      <w:pPr>
        <w:rPr>
          <w:rFonts w:ascii="Bio Sans" w:hAnsi="Bio Sans" w:cs="Arial"/>
          <w:bCs/>
          <w:sz w:val="22"/>
          <w:szCs w:val="22"/>
        </w:rPr>
      </w:pPr>
    </w:p>
    <w:p w14:paraId="6DF08FB0" w14:textId="77777777" w:rsidR="00027D48" w:rsidRDefault="00027D48" w:rsidP="009F22B2">
      <w:pPr>
        <w:rPr>
          <w:rFonts w:ascii="Bio Sans" w:hAnsi="Bio Sans" w:cs="Arial"/>
          <w:b/>
          <w:sz w:val="22"/>
          <w:szCs w:val="22"/>
        </w:rPr>
      </w:pPr>
    </w:p>
    <w:p w14:paraId="6A1C7FF7" w14:textId="0C939818" w:rsidR="00027D48" w:rsidRDefault="004675E9" w:rsidP="009F22B2">
      <w:pPr>
        <w:rPr>
          <w:rFonts w:ascii="Bio Sans" w:hAnsi="Bio Sans" w:cs="Arial"/>
          <w:b/>
          <w:sz w:val="22"/>
          <w:szCs w:val="22"/>
        </w:rPr>
      </w:pPr>
      <w:r w:rsidRPr="004675E9">
        <w:rPr>
          <w:rFonts w:ascii="Bio Sans" w:hAnsi="Bio Sans" w:cs="Arial"/>
          <w:b/>
          <w:noProof/>
          <w:sz w:val="22"/>
          <w:szCs w:val="22"/>
        </w:rPr>
        <w:drawing>
          <wp:inline distT="0" distB="0" distL="0" distR="0" wp14:anchorId="153E9B93" wp14:editId="47F70FD9">
            <wp:extent cx="2075288" cy="3219450"/>
            <wp:effectExtent l="0" t="0" r="1270" b="0"/>
            <wp:docPr id="1325354659" name="Grafik 1" descr="Ein Bild, das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354659" name="Grafik 1" descr="Ein Bild, das Im Haus enthält.&#10;&#10;KI-generierte Inhalte können fehlerhaft sein."/>
                    <pic:cNvPicPr/>
                  </pic:nvPicPr>
                  <pic:blipFill>
                    <a:blip r:embed="rId8"/>
                    <a:stretch>
                      <a:fillRect/>
                    </a:stretch>
                  </pic:blipFill>
                  <pic:spPr>
                    <a:xfrm>
                      <a:off x="0" y="0"/>
                      <a:ext cx="2083929" cy="3232856"/>
                    </a:xfrm>
                    <a:prstGeom prst="rect">
                      <a:avLst/>
                    </a:prstGeom>
                  </pic:spPr>
                </pic:pic>
              </a:graphicData>
            </a:graphic>
          </wp:inline>
        </w:drawing>
      </w:r>
    </w:p>
    <w:p w14:paraId="013BAFAB" w14:textId="77777777" w:rsidR="00027D48" w:rsidRDefault="00027D48" w:rsidP="009F22B2">
      <w:pPr>
        <w:rPr>
          <w:rFonts w:ascii="Bio Sans" w:hAnsi="Bio Sans" w:cs="Arial"/>
          <w:b/>
          <w:sz w:val="22"/>
          <w:szCs w:val="22"/>
        </w:rPr>
      </w:pPr>
    </w:p>
    <w:p w14:paraId="48D9F254" w14:textId="0BBF1AB7" w:rsidR="00662700" w:rsidRDefault="00027D48" w:rsidP="009F22B2">
      <w:pPr>
        <w:rPr>
          <w:rFonts w:ascii="Bio Sans" w:hAnsi="Bio Sans" w:cs="Arial"/>
          <w:b/>
          <w:sz w:val="22"/>
          <w:szCs w:val="22"/>
        </w:rPr>
      </w:pPr>
      <w:r>
        <w:rPr>
          <w:rFonts w:ascii="Bio Sans" w:hAnsi="Bio Sans" w:cs="Arial"/>
          <w:b/>
          <w:sz w:val="22"/>
          <w:szCs w:val="22"/>
        </w:rPr>
        <w:t xml:space="preserve">20251125_AZM150_01.jpg</w:t>
      </w:r>
    </w:p>
    <w:p w14:paraId="0C22F330" w14:textId="403AF77C" w:rsidR="00027D48" w:rsidRPr="00507B5F" w:rsidRDefault="00507B5F" w:rsidP="00507B5F">
      <w:pPr>
        <w:rPr>
          <w:rFonts w:ascii="Bio Sans" w:hAnsi="Bio Sans" w:cs="Arial"/>
          <w:bCs/>
          <w:sz w:val="22"/>
          <w:szCs w:val="22"/>
        </w:rPr>
      </w:pPr>
      <w:r>
        <w:rPr>
          <w:rFonts w:ascii="Bio Sans" w:hAnsi="Bio Sans" w:cs="Arial"/>
          <w:bCs/>
          <w:sz w:val="22"/>
          <w:szCs w:val="22"/>
        </w:rPr>
        <w:t xml:space="preserve">L'AZM150 - combiné dans cette application avec le système de poignée de porte DHS-150 - est un interverrouillage de sécurité électromécanique.</w:t>
      </w:r>
      <w:r>
        <w:rPr>
          <w:rFonts w:ascii="Bio Sans" w:hAnsi="Bio Sans" w:cs="Arial"/>
          <w:bCs/>
          <w:sz w:val="22"/>
          <w:szCs w:val="22"/>
        </w:rPr>
        <w:t xml:space="preserve"> </w:t>
      </w:r>
      <w:r>
        <w:rPr>
          <w:rFonts w:ascii="Bio Sans" w:hAnsi="Bio Sans" w:cs="Arial"/>
          <w:bCs/>
          <w:sz w:val="22"/>
          <w:szCs w:val="22"/>
        </w:rPr>
        <w:t xml:space="preserve">Il est disponible soit en codage standard, soit en variante I à codage élevé selon la norme ISO 14119.</w:t>
      </w:r>
    </w:p>
    <w:p w14:paraId="31475D5C" w14:textId="160AB566" w:rsidR="00F67492" w:rsidRDefault="002326EE" w:rsidP="009F22B2">
      <w:pPr>
        <w:rPr>
          <w:rFonts w:ascii="Bio Sans" w:hAnsi="Bio Sans" w:cs="Arial"/>
          <w:sz w:val="22"/>
          <w:szCs w:val="22"/>
        </w:rPr>
      </w:pPr>
      <w:r w:rsidRPr="002326EE">
        <w:rPr>
          <w:rFonts w:ascii="Bio Sans" w:hAnsi="Bio Sans" w:cs="Arial"/>
          <w:noProof/>
          <w:sz w:val="22"/>
          <w:szCs w:val="22"/>
        </w:rPr>
        <w:lastRenderedPageBreak/>
        <w:drawing>
          <wp:inline distT="0" distB="0" distL="0" distR="0" wp14:anchorId="33DDD476" wp14:editId="7DD22010">
            <wp:extent cx="3179350" cy="2124075"/>
            <wp:effectExtent l="0" t="0" r="2540" b="0"/>
            <wp:docPr id="1341365087" name="Grafik 1" descr="Ein Bild, das Electric Blue (Farbe), Tor, Blau,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365087" name="Grafik 1" descr="Ein Bild, das Electric Blue (Farbe), Tor, Blau, Metall enthält.&#10;&#10;KI-generierte Inhalte können fehlerhaft sein."/>
                    <pic:cNvPicPr/>
                  </pic:nvPicPr>
                  <pic:blipFill>
                    <a:blip r:embed="rId9"/>
                    <a:stretch>
                      <a:fillRect/>
                    </a:stretch>
                  </pic:blipFill>
                  <pic:spPr>
                    <a:xfrm>
                      <a:off x="0" y="0"/>
                      <a:ext cx="3182603" cy="2126248"/>
                    </a:xfrm>
                    <a:prstGeom prst="rect">
                      <a:avLst/>
                    </a:prstGeom>
                  </pic:spPr>
                </pic:pic>
              </a:graphicData>
            </a:graphic>
          </wp:inline>
        </w:drawing>
      </w:r>
    </w:p>
    <w:p w14:paraId="0E951A74" w14:textId="16875209" w:rsidR="00027D48" w:rsidRPr="00D3665C" w:rsidRDefault="00027D48" w:rsidP="00027D48">
      <w:pPr>
        <w:rPr>
          <w:rFonts w:ascii="Bio Sans" w:hAnsi="Bio Sans" w:cs="Arial"/>
          <w:b/>
          <w:sz w:val="22"/>
          <w:szCs w:val="22"/>
        </w:rPr>
      </w:pPr>
      <w:r>
        <w:rPr>
          <w:rFonts w:ascii="Bio Sans" w:hAnsi="Bio Sans" w:cs="Arial"/>
          <w:b/>
          <w:sz w:val="22"/>
          <w:szCs w:val="22"/>
        </w:rPr>
        <w:t xml:space="preserve">20251125_ AZM150_02.jpg</w:t>
      </w:r>
    </w:p>
    <w:p w14:paraId="128AB446" w14:textId="7E5987BF" w:rsidR="00507B5F" w:rsidRPr="00507B5F" w:rsidRDefault="00507B5F" w:rsidP="00507B5F">
      <w:pPr>
        <w:rPr>
          <w:rFonts w:ascii="Bio Sans" w:hAnsi="Bio Sans" w:cs="Arial"/>
          <w:sz w:val="22"/>
          <w:szCs w:val="22"/>
        </w:rPr>
      </w:pPr>
      <w:r>
        <w:rPr>
          <w:rFonts w:ascii="Bio Sans" w:hAnsi="Bio Sans" w:cs="Arial"/>
          <w:sz w:val="22"/>
          <w:szCs w:val="22"/>
        </w:rPr>
        <w:t xml:space="preserve">Le système de poignée de porte DHS-150 est un accessoire ergonomique spécialement conçu pour l'interverrouillage de sécurité AZM150.</w:t>
      </w:r>
      <w:r>
        <w:rPr>
          <w:rFonts w:ascii="Bio Sans" w:hAnsi="Bio Sans" w:cs="Arial"/>
          <w:sz w:val="22"/>
          <w:szCs w:val="22"/>
        </w:rPr>
        <w:t xml:space="preserve"> </w:t>
      </w:r>
      <w:r>
        <w:rPr>
          <w:rFonts w:ascii="Bio Sans" w:hAnsi="Bio Sans" w:cs="Arial"/>
          <w:sz w:val="22"/>
          <w:szCs w:val="22"/>
        </w:rPr>
        <w:t xml:space="preserve">Il remplace une poignée de porte séparée et est particulièrement adapté aux enceintes de machines, aux clôtures et aux applications standard</w:t>
      </w:r>
    </w:p>
    <w:p w14:paraId="067B4126" w14:textId="6E3293A1" w:rsidR="002326EE" w:rsidRDefault="00507B5F" w:rsidP="00507B5F">
      <w:pPr>
        <w:rPr>
          <w:rFonts w:ascii="Bio Sans" w:hAnsi="Bio Sans" w:cs="Arial"/>
          <w:sz w:val="22"/>
          <w:szCs w:val="22"/>
        </w:rPr>
      </w:pPr>
      <w:r>
        <w:rPr>
          <w:rFonts w:ascii="Bio Sans" w:hAnsi="Bio Sans" w:cs="Arial"/>
          <w:sz w:val="22"/>
          <w:szCs w:val="22"/>
        </w:rPr>
        <w:t xml:space="preserve">Profilés en aluminium d'une largeur de 40 mm.</w:t>
      </w:r>
    </w:p>
    <w:p w14:paraId="2CB295F4" w14:textId="20CD141C" w:rsidR="00507B5F" w:rsidRDefault="00507B5F" w:rsidP="00507B5F">
      <w:pPr>
        <w:rPr>
          <w:rFonts w:ascii="Bio Sans" w:hAnsi="Bio Sans" w:cs="Arial"/>
          <w:sz w:val="22"/>
          <w:szCs w:val="22"/>
        </w:rPr>
      </w:pPr>
      <w:r w:rsidRPr="002326EE">
        <w:rPr>
          <w:rFonts w:ascii="Bio Sans" w:hAnsi="Bio Sans" w:cs="Arial"/>
          <w:noProof/>
          <w:sz w:val="22"/>
          <w:szCs w:val="22"/>
        </w:rPr>
        <w:drawing>
          <wp:anchor distT="0" distB="0" distL="114300" distR="114300" simplePos="0" relativeHeight="251658240" behindDoc="1" locked="0" layoutInCell="1" allowOverlap="1" wp14:anchorId="6D146279" wp14:editId="50C2570F">
            <wp:simplePos x="0" y="0"/>
            <wp:positionH relativeFrom="column">
              <wp:posOffset>3236538</wp:posOffset>
            </wp:positionH>
            <wp:positionV relativeFrom="paragraph">
              <wp:posOffset>164638</wp:posOffset>
            </wp:positionV>
            <wp:extent cx="1340485" cy="2076450"/>
            <wp:effectExtent l="0" t="0" r="0" b="0"/>
            <wp:wrapTight wrapText="bothSides">
              <wp:wrapPolygon edited="0">
                <wp:start x="0" y="0"/>
                <wp:lineTo x="0" y="21402"/>
                <wp:lineTo x="21180" y="21402"/>
                <wp:lineTo x="21180" y="0"/>
                <wp:lineTo x="0" y="0"/>
              </wp:wrapPolygon>
            </wp:wrapTight>
            <wp:docPr id="369474249" name="Grafik 1" descr="Ein Bild, das Tür, Metall, Metallwaren,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474249" name="Grafik 1" descr="Ein Bild, das Tür, Metall, Metallwaren, Maschine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40485" cy="2076450"/>
                    </a:xfrm>
                    <a:prstGeom prst="rect">
                      <a:avLst/>
                    </a:prstGeom>
                  </pic:spPr>
                </pic:pic>
              </a:graphicData>
            </a:graphic>
            <wp14:sizeRelH relativeFrom="margin">
              <wp14:pctWidth>0</wp14:pctWidth>
            </wp14:sizeRelH>
            <wp14:sizeRelV relativeFrom="margin">
              <wp14:pctHeight>0</wp14:pctHeight>
            </wp14:sizeRelV>
          </wp:anchor>
        </w:drawing>
      </w:r>
    </w:p>
    <w:p w14:paraId="5B5F1A46" w14:textId="49BADD6A" w:rsidR="002326EE" w:rsidRDefault="002326EE" w:rsidP="00027D48">
      <w:pPr>
        <w:rPr>
          <w:rFonts w:ascii="Bio Sans" w:hAnsi="Bio Sans" w:cs="Arial"/>
          <w:sz w:val="22"/>
          <w:szCs w:val="22"/>
        </w:rPr>
      </w:pPr>
      <w:r w:rsidRPr="002326EE">
        <w:rPr>
          <w:rFonts w:ascii="Bio Sans" w:hAnsi="Bio Sans" w:cs="Arial"/>
          <w:noProof/>
          <w:sz w:val="22"/>
          <w:szCs w:val="22"/>
        </w:rPr>
        <w:drawing>
          <wp:anchor distT="0" distB="0" distL="114300" distR="114300" simplePos="0" relativeHeight="251659264" behindDoc="1" locked="0" layoutInCell="1" allowOverlap="1" wp14:anchorId="5A138404" wp14:editId="04F62974">
            <wp:simplePos x="0" y="0"/>
            <wp:positionH relativeFrom="column">
              <wp:posOffset>346</wp:posOffset>
            </wp:positionH>
            <wp:positionV relativeFrom="paragraph">
              <wp:posOffset>1039</wp:posOffset>
            </wp:positionV>
            <wp:extent cx="3127493" cy="2076450"/>
            <wp:effectExtent l="0" t="0" r="0" b="0"/>
            <wp:wrapTight wrapText="bothSides">
              <wp:wrapPolygon edited="0">
                <wp:start x="0" y="0"/>
                <wp:lineTo x="0" y="21402"/>
                <wp:lineTo x="21446" y="21402"/>
                <wp:lineTo x="21446" y="0"/>
                <wp:lineTo x="0" y="0"/>
              </wp:wrapPolygon>
            </wp:wrapTight>
            <wp:docPr id="895526431" name="Grafik 1" descr="Ein Bild, das Majorelle Blue, Electric Blue (Farbe), Kobaltblau, Bl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526431" name="Grafik 1" descr="Ein Bild, das Majorelle Blue, Electric Blue (Farbe), Kobaltblau, Blau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27493" cy="2076450"/>
                    </a:xfrm>
                    <a:prstGeom prst="rect">
                      <a:avLst/>
                    </a:prstGeom>
                  </pic:spPr>
                </pic:pic>
              </a:graphicData>
            </a:graphic>
          </wp:anchor>
        </w:drawing>
      </w:r>
    </w:p>
    <w:p w14:paraId="4BE4DA5B" w14:textId="570C818A" w:rsidR="002326EE" w:rsidRDefault="002326EE" w:rsidP="00027D48">
      <w:pPr>
        <w:rPr>
          <w:rFonts w:ascii="Bio Sans" w:hAnsi="Bio Sans" w:cs="Arial"/>
          <w:sz w:val="22"/>
          <w:szCs w:val="22"/>
        </w:rPr>
      </w:pPr>
    </w:p>
    <w:p w14:paraId="0A56F138" w14:textId="77777777" w:rsidR="00507B5F" w:rsidRDefault="00507B5F" w:rsidP="00507B5F">
      <w:pPr>
        <w:rPr>
          <w:rFonts w:ascii="Bio Sans" w:hAnsi="Bio Sans" w:cs="Arial"/>
          <w:sz w:val="22"/>
          <w:szCs w:val="22"/>
        </w:rPr>
      </w:pPr>
    </w:p>
    <w:p w14:paraId="2E47F6CB" w14:textId="77777777" w:rsidR="00507B5F" w:rsidRDefault="00507B5F" w:rsidP="00507B5F">
      <w:pPr>
        <w:rPr>
          <w:rFonts w:ascii="Bio Sans" w:hAnsi="Bio Sans" w:cs="Arial"/>
          <w:sz w:val="22"/>
          <w:szCs w:val="22"/>
        </w:rPr>
      </w:pPr>
    </w:p>
    <w:p w14:paraId="64FE5CC5" w14:textId="77777777" w:rsidR="00507B5F" w:rsidRDefault="00507B5F" w:rsidP="00507B5F">
      <w:pPr>
        <w:rPr>
          <w:rFonts w:ascii="Bio Sans" w:hAnsi="Bio Sans" w:cs="Arial"/>
          <w:sz w:val="22"/>
          <w:szCs w:val="22"/>
        </w:rPr>
      </w:pPr>
    </w:p>
    <w:p w14:paraId="7EB89561" w14:textId="77777777" w:rsidR="00507B5F" w:rsidRDefault="00507B5F" w:rsidP="00507B5F">
      <w:pPr>
        <w:rPr>
          <w:rFonts w:ascii="Bio Sans" w:hAnsi="Bio Sans" w:cs="Arial"/>
          <w:sz w:val="22"/>
          <w:szCs w:val="22"/>
        </w:rPr>
      </w:pPr>
    </w:p>
    <w:p w14:paraId="7948CF78" w14:textId="77777777" w:rsidR="00507B5F" w:rsidRDefault="00507B5F" w:rsidP="00507B5F">
      <w:pPr>
        <w:rPr>
          <w:rFonts w:ascii="Bio Sans" w:hAnsi="Bio Sans" w:cs="Arial"/>
          <w:sz w:val="22"/>
          <w:szCs w:val="22"/>
        </w:rPr>
      </w:pPr>
    </w:p>
    <w:p w14:paraId="78EE8DD3" w14:textId="77777777" w:rsidR="00507B5F" w:rsidRDefault="00507B5F" w:rsidP="00507B5F">
      <w:pPr>
        <w:rPr>
          <w:rFonts w:ascii="Bio Sans" w:hAnsi="Bio Sans" w:cs="Arial"/>
          <w:sz w:val="22"/>
          <w:szCs w:val="22"/>
        </w:rPr>
      </w:pPr>
    </w:p>
    <w:p w14:paraId="5C2BD61A" w14:textId="77777777" w:rsidR="00507B5F" w:rsidRDefault="00507B5F" w:rsidP="00507B5F">
      <w:pPr>
        <w:rPr>
          <w:rFonts w:ascii="Bio Sans" w:hAnsi="Bio Sans" w:cs="Arial"/>
          <w:sz w:val="22"/>
          <w:szCs w:val="22"/>
        </w:rPr>
      </w:pPr>
    </w:p>
    <w:p w14:paraId="51942F54" w14:textId="77777777" w:rsidR="00507B5F" w:rsidRDefault="00507B5F" w:rsidP="00507B5F">
      <w:pPr>
        <w:rPr>
          <w:rFonts w:ascii="Bio Sans" w:hAnsi="Bio Sans" w:cs="Arial"/>
          <w:sz w:val="22"/>
          <w:szCs w:val="22"/>
        </w:rPr>
      </w:pPr>
    </w:p>
    <w:p w14:paraId="4176AF8A" w14:textId="77777777" w:rsidR="00507B5F" w:rsidRDefault="00507B5F" w:rsidP="00507B5F">
      <w:pPr>
        <w:rPr>
          <w:rFonts w:ascii="Bio Sans" w:hAnsi="Bio Sans" w:cs="Arial"/>
          <w:sz w:val="22"/>
          <w:szCs w:val="22"/>
        </w:rPr>
      </w:pPr>
    </w:p>
    <w:p w14:paraId="04543096" w14:textId="77777777" w:rsidR="00507B5F" w:rsidRDefault="00507B5F" w:rsidP="00507B5F">
      <w:pPr>
        <w:rPr>
          <w:rFonts w:ascii="Bio Sans" w:hAnsi="Bio Sans" w:cs="Arial"/>
          <w:sz w:val="22"/>
          <w:szCs w:val="22"/>
        </w:rPr>
      </w:pPr>
    </w:p>
    <w:p w14:paraId="2A44CEE3" w14:textId="1B40DD6E" w:rsidR="00507B5F" w:rsidRPr="00D3665C" w:rsidRDefault="00582BC1" w:rsidP="00507B5F">
      <w:pPr>
        <w:rPr>
          <w:rFonts w:ascii="Bio Sans" w:hAnsi="Bio Sans" w:cs="Arial"/>
          <w:b/>
          <w:sz w:val="22"/>
          <w:szCs w:val="22"/>
        </w:rPr>
      </w:pPr>
      <w:r>
        <w:rPr>
          <w:rFonts w:ascii="Bio Sans" w:hAnsi="Bio Sans" w:cs="Arial"/>
          <w:b/>
          <w:sz w:val="22"/>
          <w:szCs w:val="22"/>
        </w:rPr>
        <w:t xml:space="preserve">20251125_ AZM150_03.jpg</w:t>
      </w:r>
    </w:p>
    <w:p w14:paraId="2CC1ADB6" w14:textId="5379DBE8" w:rsidR="00507B5F" w:rsidRPr="00D3665C" w:rsidRDefault="00507B5F" w:rsidP="00507B5F">
      <w:pPr>
        <w:rPr>
          <w:rFonts w:ascii="Bio Sans" w:hAnsi="Bio Sans" w:cs="Arial"/>
          <w:b/>
          <w:sz w:val="22"/>
          <w:szCs w:val="22"/>
        </w:rPr>
      </w:pPr>
      <w:r>
        <w:rPr>
          <w:rFonts w:ascii="Bio Sans" w:hAnsi="Bio Sans" w:cs="Arial"/>
          <w:b/>
          <w:sz w:val="22"/>
          <w:szCs w:val="22"/>
        </w:rPr>
        <w:t xml:space="preserve">20251125_ AZM150_04.jpg</w:t>
      </w:r>
    </w:p>
    <w:p w14:paraId="6B30FEB2" w14:textId="7F62666D" w:rsidR="00507B5F" w:rsidRPr="00507B5F" w:rsidRDefault="00507B5F" w:rsidP="00507B5F">
      <w:pPr>
        <w:rPr>
          <w:rFonts w:ascii="Bio Sans" w:hAnsi="Bio Sans" w:cs="Arial"/>
          <w:sz w:val="22"/>
          <w:szCs w:val="22"/>
        </w:rPr>
      </w:pPr>
      <w:r>
        <w:rPr>
          <w:rFonts w:ascii="Bio Sans" w:hAnsi="Bio Sans" w:cs="Arial"/>
          <w:sz w:val="22"/>
          <w:szCs w:val="22"/>
        </w:rPr>
        <w:t xml:space="preserve">L'un des points forts de l'interverrouillage est la tête pivotante de l'actionneur qui - au lieu d'être vissée - est bloquée par simple mise en place du couvercle du boîtier.</w:t>
      </w:r>
      <w:r>
        <w:rPr>
          <w:rFonts w:ascii="Bio Sans" w:hAnsi="Bio Sans" w:cs="Arial"/>
          <w:sz w:val="22"/>
          <w:szCs w:val="22"/>
        </w:rPr>
        <w:t xml:space="preserve"> </w:t>
      </w:r>
      <w:r>
        <w:rPr>
          <w:rFonts w:ascii="Bio Sans" w:hAnsi="Bio Sans" w:cs="Arial"/>
          <w:sz w:val="22"/>
          <w:szCs w:val="22"/>
        </w:rPr>
        <w:t xml:space="preserve">Le système pivotant à 360°</w:t>
      </w:r>
    </w:p>
    <w:p w14:paraId="78BDCE6F" w14:textId="7FEE5E5A" w:rsidR="00507B5F" w:rsidRPr="00507B5F" w:rsidRDefault="00507B5F" w:rsidP="00507B5F">
      <w:pPr>
        <w:rPr>
          <w:rFonts w:ascii="Bio Sans" w:hAnsi="Bio Sans" w:cs="Arial"/>
          <w:sz w:val="22"/>
          <w:szCs w:val="22"/>
        </w:rPr>
      </w:pPr>
      <w:r>
        <w:rPr>
          <w:rFonts w:ascii="Bio Sans" w:hAnsi="Bio Sans" w:cs="Arial"/>
          <w:sz w:val="22"/>
          <w:szCs w:val="22"/>
        </w:rPr>
        <w:t xml:space="preserve">La tête d'actionnement avec ses deux fentes d'insertion permet différentes positions de montage et possibilités d'approche.</w:t>
      </w:r>
      <w:r>
        <w:rPr>
          <w:rFonts w:ascii="Bio Sans" w:hAnsi="Bio Sans" w:cs="Arial"/>
          <w:sz w:val="22"/>
          <w:szCs w:val="22"/>
        </w:rPr>
        <w:t xml:space="preserve"> </w:t>
      </w:r>
      <w:r>
        <w:rPr>
          <w:rFonts w:ascii="Bio Sans" w:hAnsi="Bio Sans" w:cs="Arial"/>
          <w:sz w:val="22"/>
          <w:szCs w:val="22"/>
        </w:rPr>
        <w:t xml:space="preserve">Après avoir actionné le nouveau bouton-poussoir (AZM150-PT ; à droite sur la photo) en combinaison avec la poignée montée à l'intérieur, la porte peut être ouverte de l'intérieur en cas d'urgence</w:t>
      </w:r>
    </w:p>
    <w:p w14:paraId="24A5772F" w14:textId="0BE52BF0" w:rsidR="00507B5F" w:rsidRPr="00507B5F" w:rsidRDefault="00507B5F" w:rsidP="00507B5F">
      <w:pPr>
        <w:rPr>
          <w:rFonts w:ascii="Bio Sans" w:hAnsi="Bio Sans" w:cs="Arial"/>
          <w:sz w:val="22"/>
          <w:szCs w:val="22"/>
        </w:rPr>
      </w:pPr>
      <w:r>
        <w:rPr>
          <w:rFonts w:ascii="Bio Sans" w:hAnsi="Bio Sans" w:cs="Arial"/>
          <w:sz w:val="22"/>
          <w:szCs w:val="22"/>
        </w:rPr>
        <w:t xml:space="preserve">être facilement ouverte.</w:t>
      </w:r>
    </w:p>
    <w:p w14:paraId="146458E4" w14:textId="24F1F9E7" w:rsidR="002326EE" w:rsidRDefault="002326EE" w:rsidP="00027D48">
      <w:pPr>
        <w:rPr>
          <w:rFonts w:ascii="Bio Sans" w:hAnsi="Bio Sans" w:cs="Arial"/>
          <w:sz w:val="22"/>
          <w:szCs w:val="22"/>
        </w:rPr>
      </w:pPr>
    </w:p>
    <w:p w14:paraId="18C7A2DC" w14:textId="77777777" w:rsidR="00C5796D" w:rsidRDefault="00C5796D" w:rsidP="009F22B2">
      <w:pPr>
        <w:rPr>
          <w:rFonts w:ascii="Bio Sans" w:hAnsi="Bio Sans" w:cs="Arial"/>
          <w:sz w:val="22"/>
          <w:szCs w:val="22"/>
        </w:rPr>
      </w:pPr>
    </w:p>
    <w:p w14:paraId="72EF15D9" w14:textId="77777777" w:rsidR="00507B5F" w:rsidRDefault="00507B5F" w:rsidP="009F22B2">
      <w:pPr>
        <w:rPr>
          <w:rFonts w:ascii="Bio Sans" w:hAnsi="Bio Sans" w:cs="Arial"/>
          <w:sz w:val="22"/>
          <w:szCs w:val="22"/>
        </w:rPr>
      </w:pPr>
    </w:p>
    <w:p w14:paraId="278DF905" w14:textId="77777777" w:rsidR="00507B5F" w:rsidRPr="00D3665C" w:rsidRDefault="00507B5F" w:rsidP="009F22B2">
      <w:pPr>
        <w:rPr>
          <w:rFonts w:ascii="Bio Sans" w:hAnsi="Bio Sans" w:cs="Arial"/>
          <w:sz w:val="22"/>
          <w:szCs w:val="22"/>
        </w:rPr>
      </w:pPr>
    </w:p>
    <w:p w14:paraId="570B8CBB" w14:textId="577906F7" w:rsidR="009F22B2" w:rsidRPr="00386E86" w:rsidRDefault="009F22B2" w:rsidP="009F22B2">
      <w:pPr>
        <w:rPr>
          <w:rFonts w:ascii="Bio Sans" w:hAnsi="Bio Sans" w:cs="Arial"/>
          <w:b/>
          <w:sz w:val="22"/>
          <w:szCs w:val="22"/>
        </w:rPr>
      </w:pPr>
      <w:r>
        <w:rPr>
          <w:rFonts w:ascii="Bio Sans" w:hAnsi="Bio Sans" w:cs="Arial"/>
          <w:b/>
          <w:sz w:val="22"/>
          <w:szCs w:val="22"/>
        </w:rPr>
        <w:t xml:space="preserve">Contact:</w:t>
      </w:r>
    </w:p>
    <w:p w14:paraId="0D3990D3"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Anke Siebold-Laux</w:t>
      </w:r>
    </w:p>
    <w:p w14:paraId="74759935" w14:textId="77777777" w:rsidR="00800171" w:rsidRPr="00122E22" w:rsidRDefault="00800171" w:rsidP="00800171">
      <w:pPr>
        <w:rPr>
          <w:rFonts w:ascii="Bio Sans" w:hAnsi="Bio Sans" w:cs="Arial"/>
          <w:sz w:val="22"/>
          <w:szCs w:val="22"/>
        </w:rPr>
      </w:pPr>
      <w:r>
        <w:rPr>
          <w:rFonts w:ascii="Bio Sans" w:hAnsi="Bio Sans" w:cs="Arial"/>
          <w:sz w:val="22"/>
          <w:szCs w:val="22"/>
        </w:rPr>
        <w:t xml:space="preserve">Tel.: + 49 202 6474-895</w:t>
      </w:r>
    </w:p>
    <w:p w14:paraId="5E838D0C" w14:textId="040F36B6" w:rsidR="00800171" w:rsidRPr="00D46096" w:rsidRDefault="00DF0933" w:rsidP="00800171">
      <w:pPr>
        <w:rPr>
          <w:rFonts w:ascii="Bio Sans" w:hAnsi="Bio Sans" w:cs="Arial"/>
          <w:sz w:val="22"/>
          <w:szCs w:val="22"/>
        </w:rPr>
      </w:pPr>
      <w:hyperlink r:id="rId12" w:history="1" w:tooltip="">
        <w:r>
          <w:rPr>
            <w:rFonts w:ascii="Bio Sans" w:hAnsi="Bio Sans" w:cs="Arial"/>
            <w:rStyle w:val="Hyperlink"/>
            <w:sz w:val="22"/>
            <w:szCs w:val="22"/>
          </w:rPr>
          <w:t xml:space="preserve">asieboldlaux@schmersal.com</w:t>
        </w:r>
      </w:hyperlink>
    </w:p>
    <w:p w14:paraId="77C6FCDE" w14:textId="77777777" w:rsidR="00800171" w:rsidRPr="00057BE2" w:rsidRDefault="00800171" w:rsidP="00800171">
      <w:pPr>
        <w:rPr>
          <w:rFonts w:ascii="Bio Sans" w:hAnsi="Bio Sans" w:cs="Arial"/>
          <w:sz w:val="22"/>
          <w:szCs w:val="22"/>
        </w:rPr>
      </w:pPr>
      <w:r>
        <w:rPr>
          <w:rFonts w:ascii="Bio Sans" w:hAnsi="Bio Sans" w:cs="Arial"/>
          <w:sz w:val="22"/>
          <w:szCs w:val="22"/>
        </w:rPr>
        <w:t xml:space="preserve">K.A.</w:t>
      </w:r>
      <w:r>
        <w:rPr>
          <w:rFonts w:ascii="Bio Sans" w:hAnsi="Bio Sans" w:cs="Arial"/>
          <w:sz w:val="22"/>
          <w:szCs w:val="22"/>
        </w:rPr>
        <w:t xml:space="preserve"> </w:t>
      </w:r>
      <w:r>
        <w:rPr>
          <w:rFonts w:ascii="Bio Sans" w:hAnsi="Bio Sans" w:cs="Arial"/>
          <w:sz w:val="22"/>
          <w:szCs w:val="22"/>
        </w:rPr>
        <w:t xml:space="preserve">Schmersal GmbH &amp; Co. KG</w:t>
      </w:r>
    </w:p>
    <w:p w14:paraId="27DFC5FD"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Möddinghofe 30</w:t>
      </w:r>
    </w:p>
    <w:p w14:paraId="4EBB3FC5"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Pr>
          <w:rFonts w:ascii="Bio Sans" w:hAnsi="Bio Sans" w:cs="Arial"/>
          <w:b/>
          <w:sz w:val="22"/>
          <w:szCs w:val="22"/>
        </w:rPr>
        <w:t xml:space="preserve">Au sujet du Groupe Schmersal</w:t>
        <w:tab/>
      </w:r>
    </w:p>
    <w:p w14:paraId="08EE99D0" w14:textId="77777777" w:rsidR="009F22B2" w:rsidRPr="00386E86" w:rsidRDefault="009F22B2" w:rsidP="009F22B2">
      <w:pPr>
        <w:rPr>
          <w:rFonts w:ascii="Bio Sans" w:hAnsi="Bio Sans" w:cs="Arial"/>
          <w:sz w:val="22"/>
          <w:szCs w:val="22"/>
        </w:rPr>
      </w:pPr>
      <w:r>
        <w:rPr>
          <w:rFonts w:ascii="Bio Sans" w:hAnsi="Bio Sans" w:cs="Arial"/>
          <w:sz w:val="22"/>
          <w:szCs w:val="22"/>
        </w:rPr>
        <w:t xml:space="preserve">Dans le domaine exigeant de la sécurité des machines, le Groupe Schmersal est l'un des leaders internationaux sur le marché.</w:t>
      </w:r>
      <w:r>
        <w:rPr>
          <w:rFonts w:ascii="Bio Sans" w:hAnsi="Bio Sans" w:cs="Arial"/>
          <w:sz w:val="22"/>
          <w:szCs w:val="22"/>
        </w:rPr>
        <w:t xml:space="preserve"> </w:t>
      </w:r>
      <w:r>
        <w:rPr>
          <w:rFonts w:ascii="Bio Sans" w:hAnsi="Bio Sans" w:cs="Arial"/>
          <w:sz w:val="22"/>
          <w:szCs w:val="22"/>
        </w:rPr>
        <w:t xml:space="preserve">Sur la base du portefeuille de produits le plus complet au monde en matière de dispositifs de commutation de sécurité, le groupe d'entreprises développe des systèmes de sécurité et des solutions techniques de sécurité répondant aux exigences spécifiques de différents secteurs d'utilisation.</w:t>
      </w:r>
      <w:r>
        <w:rPr>
          <w:rFonts w:ascii="Bio Sans" w:hAnsi="Bio Sans" w:cs="Arial"/>
          <w:sz w:val="22"/>
          <w:szCs w:val="22"/>
        </w:rPr>
        <w:t xml:space="preserve"> </w:t>
      </w:r>
      <w:r>
        <w:rPr>
          <w:rFonts w:ascii="Bio Sans" w:hAnsi="Bio Sans" w:cs="Arial"/>
          <w:sz w:val="22"/>
          <w:szCs w:val="22"/>
        </w:rPr>
        <w:t xml:space="preserve">L'offre Schmersal en ingénierie de conseil, de formation et de planification technique se développe encore d'avantage avec tec.nicum.</w:t>
      </w:r>
    </w:p>
    <w:p w14:paraId="448F723D" w14:textId="3BC69ECC" w:rsidR="0056589C" w:rsidRPr="00386E86" w:rsidRDefault="009F22B2" w:rsidP="0056589C">
      <w:pPr>
        <w:rPr>
          <w:rFonts w:ascii="Bio Sans" w:hAnsi="Bio Sans" w:cs="Arial"/>
          <w:sz w:val="22"/>
          <w:szCs w:val="22"/>
        </w:rPr>
      </w:pPr>
      <w:r>
        <w:rPr>
          <w:rFonts w:ascii="Bio Sans" w:hAnsi="Bio Sans" w:cs="Arial"/>
          <w:sz w:val="22"/>
          <w:szCs w:val="22"/>
        </w:rPr>
        <w:t xml:space="preserve">Huit sites de production, répartis sur trois continents, ainsi que des filiales et partenaires commerciaux garantissent la présence de l'entreprise (fondée en 1945) dans plus de 60 pays.</w:t>
      </w:r>
      <w:r>
        <w:rPr>
          <w:rFonts w:ascii="Bio Sans" w:hAnsi="Bio Sans" w:cs="Arial"/>
          <w:sz w:val="22"/>
          <w:szCs w:val="22"/>
        </w:rPr>
        <w:t xml:space="preserve"> </w:t>
      </w:r>
      <w:r>
        <w:rPr>
          <w:rFonts w:ascii="Bio Sans" w:hAnsi="Bio Sans" w:cs="Arial"/>
          <w:sz w:val="22"/>
          <w:szCs w:val="22"/>
        </w:rPr>
        <w:t xml:space="preserve">Dans le monde, le Groupe Schmersal emploie environ 2 000 personnes</w:t>
      </w:r>
      <w:r>
        <w:rPr>
          <w:rFonts w:ascii="Bio Sans" w:hAnsi="Bio Sans" w:cs="Arial"/>
          <w:sz w:val="22"/>
          <w:szCs w:val="22"/>
        </w:rPr>
        <w:t xml:space="preserve"> </w:t>
      </w:r>
    </w:p>
    <w:p w14:paraId="4E1E7868" w14:textId="77777777" w:rsidR="0056589C" w:rsidRPr="00386E86" w:rsidRDefault="0056589C" w:rsidP="0056589C">
      <w:pPr>
        <w:rPr>
          <w:rFonts w:ascii="Bio Sans" w:hAnsi="Bio Sans" w:cs="Arial"/>
          <w:b/>
          <w:sz w:val="22"/>
          <w:szCs w:val="22"/>
        </w:rPr>
      </w:pPr>
    </w:p>
    <w:p w14:paraId="284DE003" w14:textId="77777777" w:rsidR="009F22B2" w:rsidRPr="00386E86" w:rsidRDefault="009F22B2" w:rsidP="009F22B2">
      <w:pPr>
        <w:rPr>
          <w:rFonts w:ascii="Bio Sans" w:hAnsi="Bio Sans" w:cs="Arial"/>
          <w:b/>
          <w:sz w:val="22"/>
          <w:szCs w:val="22"/>
        </w:rPr>
      </w:pPr>
      <w:hyperlink r:id="rId13" w:history="1" w:tooltip="">
        <w:r>
          <w:rPr>
            <w:rFonts w:ascii="Bio Sans" w:hAnsi="Bio Sans" w:cs="Arial"/>
            <w:rStyle w:val="Hyperlink"/>
            <w:b/>
            <w:sz w:val="22"/>
            <w:szCs w:val="22"/>
          </w:rPr>
          <w:t xml:space="preserve">www.schmersal.com</w:t>
        </w:r>
      </w:hyperlink>
      <w:r>
        <w:rPr>
          <w:rFonts w:ascii="Bio Sans" w:hAnsi="Bio Sans" w:cs="Arial"/>
          <w:b/>
          <w:sz w:val="22"/>
          <w:szCs w:val="22"/>
        </w:rPr>
        <w:t xml:space="preserve"> </w:t>
      </w:r>
    </w:p>
    <w:p w14:paraId="4E978B80" w14:textId="77777777" w:rsidR="009F22B2" w:rsidRPr="00386E86" w:rsidRDefault="009F22B2" w:rsidP="009F22B2">
      <w:pPr>
        <w:rPr>
          <w:rFonts w:ascii="Bio Sans" w:hAnsi="Bio Sans" w:cs="Arial"/>
          <w:b/>
          <w:sz w:val="22"/>
          <w:szCs w:val="22"/>
        </w:rPr>
      </w:pPr>
      <w:hyperlink r:id="rId14" w:history="1" w:tooltip="">
        <w:r>
          <w:rPr>
            <w:rFonts w:ascii="Bio Sans" w:hAnsi="Bio Sans" w:cs="Arial"/>
            <w:rStyle w:val="Hyperlink"/>
            <w:b/>
            <w:sz w:val="22"/>
            <w:szCs w:val="22"/>
          </w:rPr>
          <w:t xml:space="preserve">www.tecnicum.com</w:t>
        </w:r>
      </w:hyperlink>
    </w:p>
    <w:p w14:paraId="26CF95D7" w14:textId="77777777" w:rsidR="009F22B2" w:rsidRPr="00386E86" w:rsidRDefault="009F22B2" w:rsidP="009F22B2">
      <w:pPr>
        <w:rPr>
          <w:rFonts w:ascii="Bio Sans" w:hAnsi="Bio Sans" w:cs="Arial"/>
          <w:sz w:val="22"/>
          <w:szCs w:val="22"/>
        </w:rPr>
      </w:pPr>
    </w:p>
    <w:p w14:paraId="4FFDAC7B" w14:textId="47266134" w:rsidR="009F22B2" w:rsidRPr="00386E86" w:rsidRDefault="009F22B2" w:rsidP="009F22B2">
      <w:pPr>
        <w:rPr>
          <w:rFonts w:ascii="Bio Sans" w:hAnsi="Bio Sans" w:cs="Arial"/>
          <w:sz w:val="22"/>
          <w:szCs w:val="22"/>
          <w:lang w:eastAsia="zh-CN"/>
        </w:rPr>
      </w:pPr>
      <w:r>
        <w:rPr>
          <w:rFonts w:ascii="Bio Sans" w:hAnsi="Bio Sans" w:cs="Arial"/>
          <w:sz w:val="22"/>
          <w:szCs w:val="22"/>
        </w:rPr>
        <w:t xml:space="preserve">Si vous souhaitez vous désabonner de notre liste de destinataires et ne plus recevoir des communiqués de presse de la part de Schmersal, cliquez simplement sur ce lien: </w:t>
      </w:r>
      <w:hyperlink r:id="rId15" w:history="1" w:tooltip="">
        <w:r>
          <w:rPr>
            <w:rFonts w:ascii="Bio Sans" w:hAnsi="Bio Sans" w:cs="Arial"/>
            <w:rStyle w:val="Hyperlink"/>
            <w:sz w:val="22"/>
            <w:szCs w:val="22"/>
          </w:rPr>
          <w:t xml:space="preserve">Se désabonner</w:t>
        </w:r>
      </w:hyperlink>
    </w:p>
    <w:p w14:paraId="681DB53D" w14:textId="63B26E64" w:rsidR="00C81457" w:rsidRPr="00386E86" w:rsidRDefault="009F22B2" w:rsidP="009F22B2">
      <w:pPr>
        <w:rPr>
          <w:rFonts w:ascii="Bio Sans" w:hAnsi="Bio Sans"/>
        </w:rPr>
      </w:pPr>
      <w:r>
        <w:rPr>
          <w:rFonts w:ascii="Bio Sans" w:hAnsi="Bio Sans" w:cs="Arial"/>
          <w:sz w:val="22"/>
          <w:szCs w:val="22"/>
        </w:rPr>
        <w:t xml:space="preserve">Vous trouverez des informations concernant la politique de respect de la vie privée de K.A.</w:t>
      </w:r>
      <w:r>
        <w:rPr>
          <w:rFonts w:ascii="Bio Sans" w:hAnsi="Bio Sans" w:cs="Arial"/>
          <w:sz w:val="22"/>
          <w:szCs w:val="22"/>
        </w:rPr>
        <w:t xml:space="preserve"> </w:t>
      </w:r>
      <w:r>
        <w:rPr>
          <w:rFonts w:ascii="Bio Sans" w:hAnsi="Bio Sans" w:cs="Arial"/>
          <w:sz w:val="22"/>
          <w:szCs w:val="22"/>
        </w:rPr>
        <w:t xml:space="preserve"> Schmersal GmbH &amp; Co. KG</w:t>
      </w:r>
      <w:hyperlink r:id="rId16" w:history="1" w:tooltip="">
        <w:r>
          <w:rPr>
            <w:rFonts w:ascii="Bio Sans" w:hAnsi="Bio Sans" w:cs="Arial"/>
            <w:rStyle w:val="Hyperlink"/>
            <w:sz w:val="22"/>
            <w:szCs w:val="22"/>
          </w:rPr>
          <w:t xml:space="preserve">ici</w:t>
        </w:r>
      </w:hyperlink>
    </w:p>
    <w:sectPr w:rsidR="00C81457" w:rsidRPr="00386E86" w:rsidSect="00DA7FCD">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8D09DB" w14:textId="77777777" w:rsidR="00B35562" w:rsidRDefault="00B35562">
      <w:r>
        <w:separator/>
      </w:r>
    </w:p>
  </w:endnote>
  <w:endnote w:type="continuationSeparator" w:id="0">
    <w:p w14:paraId="5B744468" w14:textId="77777777" w:rsidR="00B35562" w:rsidRDefault="00B35562">
      <w:r>
        <w:continuationSeparator/>
      </w:r>
    </w:p>
  </w:endnote>
  <w:endnote w:type="continuationNotice" w:id="1">
    <w:p w14:paraId="0CDAE329" w14:textId="77777777" w:rsidR="00B35562" w:rsidRDefault="00B355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7C6A02" w14:textId="77777777" w:rsidR="00B35562" w:rsidRDefault="00B35562">
      <w:r>
        <w:separator/>
      </w:r>
    </w:p>
  </w:footnote>
  <w:footnote w:type="continuationSeparator" w:id="0">
    <w:p w14:paraId="28C02ED8" w14:textId="77777777" w:rsidR="00B35562" w:rsidRDefault="00B35562">
      <w:r>
        <w:continuationSeparator/>
      </w:r>
    </w:p>
  </w:footnote>
  <w:footnote w:type="continuationNotice" w:id="1">
    <w:p w14:paraId="62BEA93C" w14:textId="77777777" w:rsidR="00B35562" w:rsidRDefault="00B355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582BC1">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3428730" r:id="rId2"/>
      </w:object>
    </w:r>
  </w:p>
  <w:p w14:paraId="0362B45C" w14:textId="77777777" w:rsidR="003A7F6A" w:rsidRDefault="00582BC1">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3428731"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939"/>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9760B"/>
    <w:rsid w:val="000A0B59"/>
    <w:rsid w:val="000A279E"/>
    <w:rsid w:val="000A39F2"/>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2E22"/>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26EE"/>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66D18"/>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5E8C"/>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675E9"/>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87D83"/>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07B5F"/>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2BC1"/>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4B0"/>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2AC"/>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47D71"/>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62"/>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B9D"/>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096"/>
    <w:rsid w:val="00D46E1D"/>
    <w:rsid w:val="00D471ED"/>
    <w:rsid w:val="00D4776B"/>
    <w:rsid w:val="00D501B6"/>
    <w:rsid w:val="00D5051C"/>
    <w:rsid w:val="00D50D4B"/>
    <w:rsid w:val="00D530AE"/>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558"/>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imes New Roman" w:hAnsi="Times New Roman"/>
    </w:rPr>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rPr>
      <w:rFonts w:ascii="Times New Roman" w:hAnsi="Times New Roman"/>
    </w:rPr>
  </w:style>
  <w:style w:type="table" w:default="1" w:styleId="NormaleTabelle">
    <w:name w:val="Normal Table"/>
    <w:uiPriority w:val="99"/>
    <w:semiHidden/>
    <w:unhideWhenUsed/>
    <w:tblPr>
      <w:tblInd w:w="0" w:type="dxa"/>
      <w:tblCellMar>
        <w:top w:w="0" w:type="dxa"/>
        <w:left w:w="108" w:type="dxa"/>
        <w:bottom w:w="0" w:type="dxa"/>
        <w:right w:w="108" w:type="dxa"/>
      </w:tblCellMar>
    </w:tblPr>
    <w:rPr>
      <w:rFonts w:ascii="Times New Roman" w:hAnsi="Times New Roman"/>
    </w:r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rPr>
      <w:rFonts w:ascii="Times New Roman" w:hAnsi="Times New Roman"/>
    </w:rPr>
  </w:style>
  <w:style w:type="paragraph" w:styleId="Fuzeile">
    <w:name w:val="footer"/>
    <w:basedOn w:val="Standard"/>
    <w:semiHidden/>
    <w:pPr>
      <w:tabs>
        <w:tab w:val="center" w:pos="4536"/>
        <w:tab w:val="right" w:pos="9072"/>
      </w:tabs>
    </w:pPr>
    <w:rPr>
      <w:rFonts w:ascii="Times New Roman" w:hAnsi="Times New Roman"/>
    </w:r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ascii="Times New Roman" w:eastAsia="SimSun" w:hAnsi="Times New Roma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rPr/>
  </w:style>
  <w:style w:type="character" w:styleId="Kommentarzeichen">
    <w:name w:val="annotation reference"/>
    <w:uiPriority w:val="99"/>
    <w:semiHidden/>
    <w:rPr>
      <w:sz w:val="16"/>
      <w:szCs w:val="16"/>
    </w:rPr>
  </w:style>
  <w:style w:type="paragraph" w:styleId="Kommentartext">
    <w:name w:val="annotation text"/>
    <w:basedOn w:val="Standard"/>
    <w:uiPriority w:val="99"/>
    <w:rPr>
      <w:rFonts w:ascii="Times New Roman" w:hAnsi="Times New Roman"/>
    </w:rPr>
  </w:style>
  <w:style w:type="character" w:customStyle="1" w:styleId="KommentartextZchn">
    <w:name w:val="Kommentartext Zchn"/>
    <w:uiPriority w:val="99"/>
    <w:rPr/>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rPr>
      <w:rFonts w:ascii="Times New Roman" w:hAnsi="Times New Roman"/>
    </w:rPr>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chmersal.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mailto:asieboldlaux@schmersal.com"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chmersal.com/datenschutz/"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sieboldlaux@schmersal.com?subject=Abmeldung_vom_Presseverteiler"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tecnicum.com"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oleObject" Target="embeddings/oleObject1.bin"/><Relationship Id="rId1" Type="http://schemas.openxmlformats.org/officeDocument/2006/relationships/image" Target="media/image5.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70.jpe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632</Words>
  <Characters>4869</Characters>
  <Application>Microsoft Office Word</Application>
  <DocSecurity>0</DocSecurity>
  <Lines>40</Lines>
  <Paragraphs>10</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5491</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3</cp:revision>
  <dcterms:created xsi:type="dcterms:W3CDTF">2025-10-27T08:42:00Z</dcterms:created>
  <dcterms:modified xsi:type="dcterms:W3CDTF">2025-10-31T14:12:00Z</dcterms:modified>
</cp:coreProperties>
</file>